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DDA3" w14:textId="77777777" w:rsidR="00F8024E" w:rsidRDefault="00F8024E">
      <w:pPr>
        <w:pStyle w:val="BodyText"/>
        <w:spacing w:before="4"/>
        <w:rPr>
          <w:rFonts w:ascii="Calibri"/>
          <w:b/>
          <w:sz w:val="13"/>
        </w:rPr>
      </w:pPr>
    </w:p>
    <w:p w14:paraId="3FC6A08A" w14:textId="77777777" w:rsidR="00F8024E" w:rsidRDefault="005D00CC">
      <w:pPr>
        <w:pStyle w:val="Heading1"/>
      </w:pPr>
      <w:r>
        <w:t>Grants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42099E62" w14:textId="77777777" w:rsidR="00F8024E" w:rsidRDefault="005D00CC">
      <w:pPr>
        <w:pStyle w:val="BodyText"/>
        <w:ind w:left="3809" w:right="3809"/>
        <w:jc w:val="center"/>
        <w:rPr>
          <w:rFonts w:ascii="Calibri"/>
        </w:rPr>
      </w:pPr>
      <w:r>
        <w:rPr>
          <w:rFonts w:ascii="Calibri"/>
        </w:rPr>
        <w:t xml:space="preserve">Exhibit </w:t>
      </w:r>
      <w:r>
        <w:rPr>
          <w:rFonts w:ascii="Calibri"/>
          <w:spacing w:val="-10"/>
        </w:rPr>
        <w:t>A</w:t>
      </w:r>
    </w:p>
    <w:p w14:paraId="060DDDB0" w14:textId="77777777" w:rsidR="00F8024E" w:rsidRDefault="00F8024E">
      <w:pPr>
        <w:pStyle w:val="BodyText"/>
        <w:rPr>
          <w:rFonts w:ascii="Calibri"/>
        </w:rPr>
      </w:pPr>
    </w:p>
    <w:p w14:paraId="5CFE525F" w14:textId="77777777" w:rsidR="00F8024E" w:rsidRDefault="00F8024E">
      <w:pPr>
        <w:pStyle w:val="BodyText"/>
        <w:rPr>
          <w:rFonts w:ascii="Calibri"/>
        </w:rPr>
      </w:pPr>
    </w:p>
    <w:p w14:paraId="23AAF183" w14:textId="77777777" w:rsidR="00F8024E" w:rsidRDefault="005D00CC">
      <w:pPr>
        <w:pStyle w:val="Heading2"/>
        <w:numPr>
          <w:ilvl w:val="0"/>
          <w:numId w:val="2"/>
        </w:numPr>
        <w:tabs>
          <w:tab w:val="left" w:pos="839"/>
          <w:tab w:val="left" w:pos="840"/>
        </w:tabs>
        <w:spacing w:before="151"/>
        <w:ind w:hanging="721"/>
        <w:rPr>
          <w:color w:val="221E1F"/>
        </w:rPr>
      </w:pPr>
      <w:r>
        <w:rPr>
          <w:color w:val="221E1F"/>
          <w:spacing w:val="-2"/>
        </w:rPr>
        <w:t>PURPOSE</w:t>
      </w:r>
    </w:p>
    <w:p w14:paraId="6FFFF0C0" w14:textId="77777777" w:rsidR="00F8024E" w:rsidRDefault="005D00CC">
      <w:pPr>
        <w:pStyle w:val="BodyText"/>
        <w:spacing w:before="120" w:line="276" w:lineRule="auto"/>
        <w:ind w:left="840" w:right="118"/>
        <w:jc w:val="both"/>
      </w:pPr>
      <w:r>
        <w:t>To encourage best financial and compliance practices in obtaining, spending, recovery, reporting, and closing of grants.</w:t>
      </w:r>
    </w:p>
    <w:p w14:paraId="48C3DE80" w14:textId="77777777" w:rsidR="00F8024E" w:rsidRDefault="00F8024E">
      <w:pPr>
        <w:pStyle w:val="BodyText"/>
        <w:spacing w:before="3"/>
        <w:rPr>
          <w:sz w:val="31"/>
        </w:rPr>
      </w:pPr>
    </w:p>
    <w:p w14:paraId="1D3BABF2" w14:textId="77777777" w:rsidR="00F8024E" w:rsidRDefault="005D00CC">
      <w:pPr>
        <w:pStyle w:val="Heading2"/>
        <w:numPr>
          <w:ilvl w:val="0"/>
          <w:numId w:val="2"/>
        </w:numPr>
        <w:tabs>
          <w:tab w:val="left" w:pos="839"/>
          <w:tab w:val="left" w:pos="840"/>
        </w:tabs>
        <w:spacing w:before="1"/>
        <w:rPr>
          <w:color w:val="221E1F"/>
        </w:rPr>
      </w:pPr>
      <w:r>
        <w:rPr>
          <w:color w:val="221E1F"/>
        </w:rPr>
        <w:t>MANAGEMENT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2"/>
        </w:rPr>
        <w:t xml:space="preserve"> OVERSIGHT</w:t>
      </w:r>
    </w:p>
    <w:p w14:paraId="1540156B" w14:textId="77777777" w:rsidR="00F8024E" w:rsidRDefault="005D00CC">
      <w:pPr>
        <w:pStyle w:val="BodyText"/>
        <w:spacing w:before="160"/>
        <w:ind w:left="839" w:right="115"/>
        <w:jc w:val="both"/>
      </w:pPr>
      <w:r>
        <w:t>The City of Franklin utilizes the services of its department personnel in applying for and accepting grants.</w:t>
      </w:r>
      <w:r>
        <w:rPr>
          <w:spacing w:val="40"/>
        </w:rPr>
        <w:t xml:space="preserve"> </w:t>
      </w:r>
      <w:r>
        <w:t>Grants personnel are to have training on grants, including internal controls.</w:t>
      </w:r>
      <w:r>
        <w:rPr>
          <w:spacing w:val="40"/>
        </w:rPr>
        <w:t xml:space="preserve"> </w:t>
      </w:r>
      <w:r>
        <w:t>Typically, through a resolution or contract, grants must be approved or acknowledged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administratively</w:t>
      </w:r>
      <w:r>
        <w:rPr>
          <w:spacing w:val="-7"/>
        </w:rPr>
        <w:t xml:space="preserve"> </w:t>
      </w:r>
      <w:r>
        <w:t>approved)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Aldermen</w:t>
      </w:r>
      <w:r>
        <w:rPr>
          <w:spacing w:val="-8"/>
        </w:rPr>
        <w:t xml:space="preserve"> </w:t>
      </w:r>
      <w:r>
        <w:t>before use.</w:t>
      </w:r>
      <w:r>
        <w:rPr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closure with citywide oversight by the Finance Department.</w:t>
      </w:r>
    </w:p>
    <w:p w14:paraId="56826DAE" w14:textId="77777777" w:rsidR="00F8024E" w:rsidRDefault="00F8024E">
      <w:pPr>
        <w:pStyle w:val="BodyText"/>
        <w:spacing w:before="3"/>
        <w:rPr>
          <w:sz w:val="31"/>
        </w:rPr>
      </w:pPr>
    </w:p>
    <w:p w14:paraId="64B694CF" w14:textId="77777777" w:rsidR="00F8024E" w:rsidRDefault="005D00CC">
      <w:pPr>
        <w:pStyle w:val="Heading2"/>
        <w:numPr>
          <w:ilvl w:val="0"/>
          <w:numId w:val="2"/>
        </w:numPr>
        <w:tabs>
          <w:tab w:val="left" w:pos="839"/>
          <w:tab w:val="left" w:pos="840"/>
        </w:tabs>
        <w:ind w:hanging="721"/>
      </w:pPr>
      <w:r>
        <w:rPr>
          <w:color w:val="221E1F"/>
          <w:spacing w:val="-2"/>
        </w:rPr>
        <w:t>PAYMENTS</w:t>
      </w:r>
    </w:p>
    <w:p w14:paraId="4B77B8EB" w14:textId="77777777" w:rsidR="00F8024E" w:rsidRDefault="005D00CC">
      <w:pPr>
        <w:pStyle w:val="BodyText"/>
        <w:spacing w:before="202" w:line="276" w:lineRule="auto"/>
        <w:ind w:left="839" w:right="112"/>
        <w:jc w:val="both"/>
      </w:pPr>
      <w:r>
        <w:rPr>
          <w:color w:val="221E1F"/>
        </w:rPr>
        <w:t>On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before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first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payment,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copy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executed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grant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agreement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shall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submitted to the Finance Department.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The payment request to accounts payable or purchasing card transaction needs to include the grant number that corresponds with the grant agreement.</w:t>
      </w:r>
    </w:p>
    <w:p w14:paraId="4AFDE28B" w14:textId="77777777" w:rsidR="00F8024E" w:rsidRDefault="00F8024E">
      <w:pPr>
        <w:pStyle w:val="BodyText"/>
        <w:spacing w:before="4"/>
        <w:rPr>
          <w:sz w:val="31"/>
        </w:rPr>
      </w:pPr>
    </w:p>
    <w:p w14:paraId="08E8B9CD" w14:textId="77777777" w:rsidR="00F8024E" w:rsidRDefault="005D00CC">
      <w:pPr>
        <w:pStyle w:val="Heading2"/>
        <w:numPr>
          <w:ilvl w:val="0"/>
          <w:numId w:val="2"/>
        </w:numPr>
        <w:tabs>
          <w:tab w:val="left" w:pos="839"/>
          <w:tab w:val="left" w:pos="840"/>
        </w:tabs>
        <w:ind w:left="839" w:hanging="730"/>
        <w:rPr>
          <w:color w:val="221E1F"/>
        </w:rPr>
      </w:pPr>
      <w:r>
        <w:rPr>
          <w:color w:val="221E1F"/>
          <w:spacing w:val="-2"/>
        </w:rPr>
        <w:t>REIMBURSEMENTS</w:t>
      </w:r>
    </w:p>
    <w:p w14:paraId="632CB600" w14:textId="77777777" w:rsidR="00F8024E" w:rsidRDefault="005D00CC">
      <w:pPr>
        <w:pStyle w:val="BodyText"/>
        <w:spacing w:before="201"/>
        <w:ind w:left="840" w:right="115"/>
        <w:jc w:val="both"/>
      </w:pPr>
      <w:r>
        <w:t>Timely reimbursements after payment are critical with g</w:t>
      </w:r>
      <w:r>
        <w:t>rants.</w:t>
      </w:r>
      <w:r>
        <w:rPr>
          <w:spacing w:val="40"/>
        </w:rPr>
        <w:t xml:space="preserve"> </w:t>
      </w:r>
      <w:r>
        <w:t>After payment has been made, a reimbursement is to be requested within the time periods below unless the grant provides otherwise:</w:t>
      </w:r>
    </w:p>
    <w:p w14:paraId="454F179C" w14:textId="77777777" w:rsidR="00F8024E" w:rsidRDefault="005D00CC">
      <w:pPr>
        <w:pStyle w:val="ListParagraph"/>
        <w:numPr>
          <w:ilvl w:val="1"/>
          <w:numId w:val="2"/>
        </w:numPr>
        <w:tabs>
          <w:tab w:val="left" w:pos="2189"/>
          <w:tab w:val="left" w:pos="2191"/>
        </w:tabs>
        <w:spacing w:line="275" w:lineRule="exac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$100,000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over,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payment.</w:t>
      </w:r>
    </w:p>
    <w:p w14:paraId="06498DF2" w14:textId="0F2A974E" w:rsidR="00F8024E" w:rsidRDefault="005D00CC">
      <w:pPr>
        <w:pStyle w:val="BodyText"/>
        <w:tabs>
          <w:tab w:val="left" w:pos="2189"/>
        </w:tabs>
        <w:ind w:left="2190" w:right="916" w:hanging="630"/>
      </w:pPr>
      <w:r>
        <w:rPr>
          <w:spacing w:val="-10"/>
        </w:rPr>
        <w:t>2</w:t>
      </w:r>
      <w:r>
        <w:tab/>
        <w:t>If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$50</w:t>
      </w:r>
      <w:r>
        <w:t>,000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$99,999,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month-end.</w:t>
      </w:r>
    </w:p>
    <w:p w14:paraId="4ED74153" w14:textId="5C2C978F" w:rsidR="00F8024E" w:rsidRDefault="005D00CC">
      <w:pPr>
        <w:pStyle w:val="ListParagraph"/>
        <w:numPr>
          <w:ilvl w:val="0"/>
          <w:numId w:val="1"/>
        </w:numPr>
        <w:tabs>
          <w:tab w:val="left" w:pos="2189"/>
          <w:tab w:val="left" w:pos="2191"/>
        </w:tabs>
        <w:ind w:right="850" w:hanging="63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$2</w:t>
      </w:r>
      <w:r>
        <w:rPr>
          <w:sz w:val="24"/>
        </w:rPr>
        <w:t>0,000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$49</w:t>
      </w:r>
      <w:r>
        <w:rPr>
          <w:sz w:val="24"/>
        </w:rPr>
        <w:t>,999,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quarterly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quarter-end.</w:t>
      </w:r>
    </w:p>
    <w:p w14:paraId="32F1E0C6" w14:textId="7FD49A7E" w:rsidR="00F8024E" w:rsidRDefault="005D00CC">
      <w:pPr>
        <w:pStyle w:val="ListParagraph"/>
        <w:numPr>
          <w:ilvl w:val="0"/>
          <w:numId w:val="1"/>
        </w:numPr>
        <w:tabs>
          <w:tab w:val="left" w:pos="2189"/>
          <w:tab w:val="left" w:pos="2190"/>
        </w:tabs>
        <w:ind w:hanging="630"/>
        <w:rPr>
          <w:sz w:val="24"/>
        </w:rPr>
      </w:pP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$2</w:t>
      </w:r>
      <w:r>
        <w:rPr>
          <w:sz w:val="24"/>
        </w:rPr>
        <w:t>0,000</w:t>
      </w:r>
      <w:r>
        <w:rPr>
          <w:spacing w:val="-1"/>
          <w:sz w:val="24"/>
        </w:rPr>
        <w:t xml:space="preserve"> </w:t>
      </w:r>
      <w:r>
        <w:rPr>
          <w:sz w:val="24"/>
        </w:rPr>
        <w:t>may be</w:t>
      </w:r>
      <w:r>
        <w:rPr>
          <w:spacing w:val="-1"/>
          <w:sz w:val="24"/>
        </w:rPr>
        <w:t xml:space="preserve"> </w:t>
      </w:r>
      <w:r>
        <w:rPr>
          <w:sz w:val="24"/>
        </w:rPr>
        <w:t>done annually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year-</w:t>
      </w:r>
      <w:r>
        <w:rPr>
          <w:spacing w:val="-4"/>
          <w:sz w:val="24"/>
        </w:rPr>
        <w:t>end.</w:t>
      </w:r>
    </w:p>
    <w:p w14:paraId="0448DAAF" w14:textId="77777777" w:rsidR="00F8024E" w:rsidRDefault="00F8024E">
      <w:pPr>
        <w:pStyle w:val="BodyText"/>
        <w:spacing w:before="4"/>
        <w:rPr>
          <w:sz w:val="31"/>
        </w:rPr>
      </w:pPr>
    </w:p>
    <w:p w14:paraId="79FA1B60" w14:textId="77777777" w:rsidR="00F8024E" w:rsidRDefault="005D00CC">
      <w:pPr>
        <w:pStyle w:val="Heading2"/>
        <w:numPr>
          <w:ilvl w:val="0"/>
          <w:numId w:val="2"/>
        </w:numPr>
        <w:tabs>
          <w:tab w:val="left" w:pos="839"/>
          <w:tab w:val="left" w:pos="840"/>
        </w:tabs>
        <w:ind w:left="839"/>
        <w:rPr>
          <w:color w:val="221E1F"/>
        </w:rPr>
      </w:pPr>
      <w:r>
        <w:rPr>
          <w:color w:val="221E1F"/>
        </w:rPr>
        <w:t>REPORTING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SYSTEM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2"/>
        </w:rPr>
        <w:t>ACCESS</w:t>
      </w:r>
    </w:p>
    <w:p w14:paraId="0AF92DBC" w14:textId="77777777" w:rsidR="00F8024E" w:rsidRDefault="005D00CC">
      <w:pPr>
        <w:pStyle w:val="BodyText"/>
        <w:spacing w:before="161"/>
        <w:ind w:left="840" w:right="116"/>
        <w:jc w:val="both"/>
      </w:pPr>
      <w:r>
        <w:t>Departments</w:t>
      </w:r>
      <w:r>
        <w:rPr>
          <w:spacing w:val="-10"/>
        </w:rPr>
        <w:t xml:space="preserve"> </w:t>
      </w:r>
      <w:r>
        <w:t>receiving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grants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reporting</w:t>
      </w:r>
      <w:r>
        <w:rPr>
          <w:spacing w:val="-10"/>
        </w:rPr>
        <w:t xml:space="preserve"> </w:t>
      </w:r>
      <w:r>
        <w:t>(with assistance from Finance as needed).</w:t>
      </w:r>
      <w:r>
        <w:rPr>
          <w:spacing w:val="40"/>
        </w:rPr>
        <w:t xml:space="preserve"> </w:t>
      </w:r>
      <w:r>
        <w:t>Finance is to receive a copy of any reporting or permitted access to view the reports in the grant’s online system.</w:t>
      </w:r>
      <w:r>
        <w:rPr>
          <w:spacing w:val="40"/>
        </w:rPr>
        <w:t xml:space="preserve"> </w:t>
      </w:r>
      <w:r>
        <w:t>Finance will provide departments receipt informati</w:t>
      </w:r>
      <w:r>
        <w:t xml:space="preserve">on on grant reimbursements or online access to view the </w:t>
      </w:r>
      <w:r>
        <w:rPr>
          <w:spacing w:val="-2"/>
        </w:rPr>
        <w:t>receipts.</w:t>
      </w:r>
    </w:p>
    <w:p w14:paraId="145C4284" w14:textId="77777777" w:rsidR="00F8024E" w:rsidRDefault="00F8024E">
      <w:pPr>
        <w:jc w:val="both"/>
        <w:sectPr w:rsidR="00F8024E">
          <w:headerReference w:type="default" r:id="rId7"/>
          <w:footerReference w:type="default" r:id="rId8"/>
          <w:pgSz w:w="12240" w:h="15840"/>
          <w:pgMar w:top="1400" w:right="1320" w:bottom="720" w:left="1320" w:header="793" w:footer="523" w:gutter="0"/>
          <w:pgNumType w:start="1"/>
          <w:cols w:space="720"/>
        </w:sectPr>
      </w:pPr>
    </w:p>
    <w:p w14:paraId="327084CA" w14:textId="77777777" w:rsidR="00F8024E" w:rsidRDefault="00F8024E">
      <w:pPr>
        <w:pStyle w:val="BodyText"/>
        <w:spacing w:before="1"/>
        <w:rPr>
          <w:sz w:val="14"/>
        </w:rPr>
      </w:pPr>
    </w:p>
    <w:p w14:paraId="21A31420" w14:textId="77777777" w:rsidR="00F8024E" w:rsidRDefault="005D00CC">
      <w:pPr>
        <w:pStyle w:val="Heading1"/>
      </w:pPr>
      <w:r>
        <w:t>Grants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0847C1D5" w14:textId="77777777" w:rsidR="00F8024E" w:rsidRDefault="005D00CC">
      <w:pPr>
        <w:pStyle w:val="BodyText"/>
        <w:ind w:left="3809" w:right="3809"/>
        <w:jc w:val="center"/>
        <w:rPr>
          <w:rFonts w:ascii="Calibri"/>
        </w:rPr>
      </w:pPr>
      <w:r>
        <w:rPr>
          <w:rFonts w:ascii="Calibri"/>
        </w:rPr>
        <w:t xml:space="preserve">Exhibit </w:t>
      </w:r>
      <w:r>
        <w:rPr>
          <w:rFonts w:ascii="Calibri"/>
          <w:spacing w:val="-10"/>
        </w:rPr>
        <w:t>A</w:t>
      </w:r>
    </w:p>
    <w:p w14:paraId="43E3B051" w14:textId="77777777" w:rsidR="00F8024E" w:rsidRDefault="00F8024E">
      <w:pPr>
        <w:pStyle w:val="BodyText"/>
        <w:rPr>
          <w:rFonts w:ascii="Calibri"/>
        </w:rPr>
      </w:pPr>
    </w:p>
    <w:p w14:paraId="10EFE626" w14:textId="77777777" w:rsidR="00F8024E" w:rsidRDefault="00F8024E">
      <w:pPr>
        <w:pStyle w:val="BodyText"/>
        <w:rPr>
          <w:rFonts w:ascii="Calibri"/>
        </w:rPr>
      </w:pPr>
    </w:p>
    <w:p w14:paraId="5E5D07A9" w14:textId="77777777" w:rsidR="00F8024E" w:rsidRDefault="005D00CC">
      <w:pPr>
        <w:pStyle w:val="Heading2"/>
        <w:numPr>
          <w:ilvl w:val="0"/>
          <w:numId w:val="2"/>
        </w:numPr>
        <w:tabs>
          <w:tab w:val="left" w:pos="929"/>
          <w:tab w:val="left" w:pos="930"/>
        </w:tabs>
        <w:spacing w:before="200"/>
        <w:ind w:left="929" w:hanging="811"/>
        <w:rPr>
          <w:color w:val="221E1F"/>
        </w:rPr>
      </w:pPr>
      <w:r>
        <w:rPr>
          <w:color w:val="221E1F"/>
        </w:rPr>
        <w:t>INDIRECT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2"/>
        </w:rPr>
        <w:t>COSTS</w:t>
      </w:r>
    </w:p>
    <w:p w14:paraId="31FBBFA7" w14:textId="77777777" w:rsidR="00F8024E" w:rsidRDefault="005D00CC">
      <w:pPr>
        <w:pStyle w:val="BodyText"/>
        <w:spacing w:before="120"/>
        <w:ind w:left="930" w:right="113"/>
        <w:jc w:val="both"/>
      </w:pPr>
      <w:r>
        <w:rPr>
          <w:color w:val="221E1F"/>
        </w:rPr>
        <w:t>For grants in which indirect costs, such as employee benefits, are eligible for reimbursement and anticipated to exceed 10% of direct costs, the recipient department shall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submit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an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indirect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cost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plan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with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grantor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agency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negotiate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an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indirect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cost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rate. If no indirect cost rate is negotiated, the City uses the 10% de minimis indirect cost rate. For grants that do not permit indirect costs, only direct costs would be eligible for reimbursement.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Some grants include management cost reimbu</w:t>
      </w:r>
      <w:r>
        <w:rPr>
          <w:color w:val="221E1F"/>
        </w:rPr>
        <w:t xml:space="preserve">rsements as part of the </w:t>
      </w:r>
      <w:r>
        <w:rPr>
          <w:color w:val="221E1F"/>
          <w:spacing w:val="-2"/>
        </w:rPr>
        <w:t>grant.</w:t>
      </w:r>
    </w:p>
    <w:p w14:paraId="21F43AAB" w14:textId="77777777" w:rsidR="00F8024E" w:rsidRDefault="00F8024E">
      <w:pPr>
        <w:pStyle w:val="BodyText"/>
        <w:spacing w:before="3"/>
        <w:rPr>
          <w:sz w:val="31"/>
        </w:rPr>
      </w:pPr>
    </w:p>
    <w:p w14:paraId="317B7329" w14:textId="77777777" w:rsidR="00F8024E" w:rsidRDefault="005D00CC">
      <w:pPr>
        <w:pStyle w:val="Heading2"/>
        <w:numPr>
          <w:ilvl w:val="0"/>
          <w:numId w:val="2"/>
        </w:numPr>
        <w:tabs>
          <w:tab w:val="left" w:pos="929"/>
          <w:tab w:val="left" w:pos="931"/>
        </w:tabs>
        <w:ind w:left="930" w:hanging="811"/>
      </w:pPr>
      <w:r>
        <w:t xml:space="preserve">MATCHING </w:t>
      </w:r>
      <w:r>
        <w:rPr>
          <w:spacing w:val="-2"/>
        </w:rPr>
        <w:t>REQUIREMENT</w:t>
      </w:r>
    </w:p>
    <w:p w14:paraId="67FDB8D8" w14:textId="77777777" w:rsidR="00F8024E" w:rsidRDefault="005D00CC">
      <w:pPr>
        <w:pStyle w:val="BodyText"/>
        <w:spacing w:before="120"/>
        <w:ind w:left="930" w:right="116"/>
        <w:jc w:val="both"/>
      </w:pPr>
      <w:r>
        <w:t>Grants</w:t>
      </w:r>
      <w:r>
        <w:rPr>
          <w:spacing w:val="-10"/>
        </w:rPr>
        <w:t xml:space="preserve"> </w:t>
      </w:r>
      <w:r>
        <w:t>typically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(funds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City)</w:t>
      </w:r>
      <w:r>
        <w:rPr>
          <w:spacing w:val="-10"/>
        </w:rPr>
        <w:t xml:space="preserve"> </w:t>
      </w:r>
      <w:r>
        <w:t>requirement.</w:t>
      </w:r>
      <w:r>
        <w:rPr>
          <w:spacing w:val="4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matching requirement exists, the match must be budgeted by the Board of Mayor and Aldermen. 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budge</w:t>
      </w:r>
      <w:r>
        <w:t>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(appropriations).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reimbursements</w:t>
      </w:r>
      <w:r>
        <w:rPr>
          <w:spacing w:val="-1"/>
        </w:rPr>
        <w:t xml:space="preserve"> </w:t>
      </w:r>
      <w:r>
        <w:t>are to be budgeted under appropriate grant revenue.</w:t>
      </w:r>
    </w:p>
    <w:p w14:paraId="0BA92537" w14:textId="77777777" w:rsidR="00F8024E" w:rsidRDefault="00F8024E">
      <w:pPr>
        <w:pStyle w:val="BodyText"/>
        <w:spacing w:before="4"/>
        <w:rPr>
          <w:sz w:val="31"/>
        </w:rPr>
      </w:pPr>
    </w:p>
    <w:p w14:paraId="73057449" w14:textId="77777777" w:rsidR="00F8024E" w:rsidRDefault="005D00CC">
      <w:pPr>
        <w:pStyle w:val="Heading2"/>
        <w:numPr>
          <w:ilvl w:val="0"/>
          <w:numId w:val="2"/>
        </w:numPr>
        <w:tabs>
          <w:tab w:val="left" w:pos="929"/>
          <w:tab w:val="left" w:pos="930"/>
        </w:tabs>
        <w:ind w:left="929" w:hanging="810"/>
      </w:pPr>
      <w:r>
        <w:t>OTHER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GRANTS</w:t>
      </w:r>
    </w:p>
    <w:p w14:paraId="334B1566" w14:textId="77777777" w:rsidR="00F8024E" w:rsidRDefault="005D00CC">
      <w:pPr>
        <w:pStyle w:val="BodyText"/>
        <w:spacing w:before="120"/>
        <w:ind w:left="930" w:right="117"/>
        <w:jc w:val="both"/>
      </w:pPr>
      <w:r>
        <w:t>The City follows all federal and state requirements for grants.</w:t>
      </w:r>
      <w:r>
        <w:rPr>
          <w:spacing w:val="40"/>
        </w:rPr>
        <w:t xml:space="preserve"> </w:t>
      </w:r>
      <w:r>
        <w:t>Also, if administrative requirements such as posting of signs, etc. are included in the grant agreement, the department is to document compliance with each requirement.</w:t>
      </w:r>
    </w:p>
    <w:p w14:paraId="6280ADB7" w14:textId="77777777" w:rsidR="00F8024E" w:rsidRDefault="00F8024E">
      <w:pPr>
        <w:pStyle w:val="BodyText"/>
        <w:spacing w:before="4"/>
        <w:rPr>
          <w:sz w:val="31"/>
        </w:rPr>
      </w:pPr>
    </w:p>
    <w:p w14:paraId="7D952024" w14:textId="77777777" w:rsidR="00F8024E" w:rsidRDefault="005D00CC">
      <w:pPr>
        <w:pStyle w:val="Heading2"/>
        <w:numPr>
          <w:ilvl w:val="0"/>
          <w:numId w:val="2"/>
        </w:numPr>
        <w:tabs>
          <w:tab w:val="left" w:pos="929"/>
          <w:tab w:val="left" w:pos="930"/>
        </w:tabs>
        <w:ind w:left="929" w:hanging="810"/>
      </w:pPr>
      <w:r>
        <w:t>AUDITS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RECORD-</w:t>
      </w:r>
      <w:r>
        <w:rPr>
          <w:spacing w:val="-2"/>
        </w:rPr>
        <w:t>KEEP</w:t>
      </w:r>
      <w:r>
        <w:rPr>
          <w:spacing w:val="-2"/>
        </w:rPr>
        <w:t>ING</w:t>
      </w:r>
    </w:p>
    <w:p w14:paraId="5CFEFD09" w14:textId="77777777" w:rsidR="00F8024E" w:rsidRDefault="005D00CC">
      <w:pPr>
        <w:pStyle w:val="BodyText"/>
        <w:spacing w:before="120" w:line="276" w:lineRule="auto"/>
        <w:ind w:left="930" w:right="115"/>
        <w:jc w:val="both"/>
      </w:pPr>
      <w:r>
        <w:t>An annual audit of federal and state grants is a requirement of Generally Accepted Accounting Principles.</w:t>
      </w:r>
      <w:r>
        <w:rPr>
          <w:spacing w:val="40"/>
        </w:rPr>
        <w:t xml:space="preserve"> </w:t>
      </w:r>
      <w:r>
        <w:t>Audit steps may include reviewing payments, reimbursements, and compliance with the grant requirements.</w:t>
      </w:r>
      <w:r>
        <w:rPr>
          <w:spacing w:val="40"/>
        </w:rPr>
        <w:t xml:space="preserve"> </w:t>
      </w:r>
      <w:r>
        <w:t>Department records need to be maintained t</w:t>
      </w:r>
      <w:r>
        <w:t>o permit grantor to perform a compliance review of the use of the grant.</w:t>
      </w:r>
    </w:p>
    <w:p w14:paraId="3D3E3B21" w14:textId="77777777" w:rsidR="00F8024E" w:rsidRDefault="00F8024E">
      <w:pPr>
        <w:pStyle w:val="BodyText"/>
        <w:spacing w:before="2"/>
        <w:rPr>
          <w:sz w:val="31"/>
        </w:rPr>
      </w:pPr>
    </w:p>
    <w:p w14:paraId="176F3A4E" w14:textId="77777777" w:rsidR="00F8024E" w:rsidRDefault="005D00CC">
      <w:pPr>
        <w:pStyle w:val="Heading2"/>
        <w:numPr>
          <w:ilvl w:val="0"/>
          <w:numId w:val="2"/>
        </w:numPr>
        <w:tabs>
          <w:tab w:val="left" w:pos="929"/>
          <w:tab w:val="left" w:pos="930"/>
        </w:tabs>
        <w:ind w:left="929" w:hanging="810"/>
        <w:rPr>
          <w:color w:val="221E1F"/>
        </w:rPr>
      </w:pPr>
      <w:r>
        <w:rPr>
          <w:color w:val="221E1F"/>
          <w:spacing w:val="-2"/>
        </w:rPr>
        <w:t>CLOSING</w:t>
      </w:r>
    </w:p>
    <w:p w14:paraId="211C8998" w14:textId="77777777" w:rsidR="00F8024E" w:rsidRDefault="005D00CC">
      <w:pPr>
        <w:pStyle w:val="BodyText"/>
        <w:spacing w:before="120"/>
        <w:ind w:left="930" w:right="115"/>
        <w:jc w:val="both"/>
      </w:pPr>
      <w:r>
        <w:t>Department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grantor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reimbursements</w:t>
      </w:r>
      <w:r>
        <w:rPr>
          <w:spacing w:val="-2"/>
        </w:rPr>
        <w:t xml:space="preserve"> </w:t>
      </w:r>
      <w:r>
        <w:t>are received and requirements of the grant are satisfied.</w:t>
      </w:r>
      <w:r>
        <w:rPr>
          <w:spacing w:val="40"/>
        </w:rPr>
        <w:t xml:space="preserve"> </w:t>
      </w:r>
      <w:r>
        <w:t>Closing shall occur within a t</w:t>
      </w:r>
      <w:r>
        <w:t>imely manner from completion of the project.</w:t>
      </w:r>
      <w:r>
        <w:rPr>
          <w:spacing w:val="40"/>
        </w:rPr>
        <w:t xml:space="preserve"> </w:t>
      </w:r>
      <w:r>
        <w:t>A copy of the grantor’s closing letter shall be provided to Finance by the initiating department.</w:t>
      </w:r>
    </w:p>
    <w:p w14:paraId="5ED75C17" w14:textId="77777777" w:rsidR="00F8024E" w:rsidRDefault="00F8024E">
      <w:pPr>
        <w:pStyle w:val="BodyText"/>
        <w:spacing w:before="4"/>
        <w:rPr>
          <w:sz w:val="31"/>
        </w:rPr>
      </w:pPr>
    </w:p>
    <w:p w14:paraId="06F4D053" w14:textId="77777777" w:rsidR="00F8024E" w:rsidRDefault="005D00CC">
      <w:pPr>
        <w:pStyle w:val="Heading2"/>
        <w:numPr>
          <w:ilvl w:val="0"/>
          <w:numId w:val="2"/>
        </w:numPr>
        <w:tabs>
          <w:tab w:val="left" w:pos="929"/>
          <w:tab w:val="left" w:pos="931"/>
        </w:tabs>
        <w:ind w:left="930" w:hanging="811"/>
        <w:rPr>
          <w:color w:val="221E1F"/>
        </w:rPr>
      </w:pPr>
      <w:r>
        <w:rPr>
          <w:color w:val="221E1F"/>
        </w:rPr>
        <w:t>REPORTS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OUTSTANDING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2"/>
        </w:rPr>
        <w:t>GRANTS</w:t>
      </w:r>
    </w:p>
    <w:p w14:paraId="78E8BE31" w14:textId="77777777" w:rsidR="00F8024E" w:rsidRDefault="005D00CC">
      <w:pPr>
        <w:pStyle w:val="BodyText"/>
        <w:spacing w:before="120"/>
        <w:ind w:left="929" w:right="129"/>
      </w:pPr>
      <w:r>
        <w:t>Finance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periodically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Administrator as well as to the Budget &amp; Finance Committee of the Board of Mayor and Aldermen.</w:t>
      </w:r>
    </w:p>
    <w:sectPr w:rsidR="00F8024E">
      <w:pgSz w:w="12240" w:h="15840"/>
      <w:pgMar w:top="1400" w:right="1320" w:bottom="720" w:left="1320" w:header="793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66D0" w14:textId="77777777" w:rsidR="00000000" w:rsidRDefault="005D00CC">
      <w:r>
        <w:separator/>
      </w:r>
    </w:p>
  </w:endnote>
  <w:endnote w:type="continuationSeparator" w:id="0">
    <w:p w14:paraId="5496BA15" w14:textId="77777777" w:rsidR="00000000" w:rsidRDefault="005D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4C9C" w14:textId="77777777" w:rsidR="00F8024E" w:rsidRDefault="005D00CC">
    <w:pPr>
      <w:pStyle w:val="BodyText"/>
      <w:spacing w:line="14" w:lineRule="auto"/>
      <w:rPr>
        <w:sz w:val="20"/>
      </w:rPr>
    </w:pPr>
    <w:r>
      <w:pict w14:anchorId="600080EC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93pt;margin-top:754.85pt;width:24.05pt;height:10.95pt;z-index:-15797248;mso-position-horizontal-relative:page;mso-position-vertical-relative:page" filled="f" stroked="f">
          <v:textbox inset="0,0,0,0">
            <w:txbxContent>
              <w:p w14:paraId="6ED682A3" w14:textId="77777777" w:rsidR="00F8024E" w:rsidRDefault="005D00CC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z w:val="16"/>
                  </w:rPr>
                  <w:fldChar w:fldCharType="separate"/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sz w:val="16"/>
                  </w:rPr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of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46EE" w14:textId="77777777" w:rsidR="00000000" w:rsidRDefault="005D00CC">
      <w:r>
        <w:separator/>
      </w:r>
    </w:p>
  </w:footnote>
  <w:footnote w:type="continuationSeparator" w:id="0">
    <w:p w14:paraId="69CC9234" w14:textId="77777777" w:rsidR="00000000" w:rsidRDefault="005D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DCAE" w14:textId="77777777" w:rsidR="00F8024E" w:rsidRDefault="005D00CC">
    <w:pPr>
      <w:pStyle w:val="BodyText"/>
      <w:spacing w:line="14" w:lineRule="auto"/>
      <w:rPr>
        <w:sz w:val="20"/>
      </w:rPr>
    </w:pPr>
    <w:r>
      <w:pict w14:anchorId="48898D5A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240.3pt;margin-top:38.65pt;width:131.3pt;height:20pt;z-index:-15797760;mso-position-horizontal-relative:page;mso-position-vertical-relative:page" filled="f" stroked="f">
          <v:textbox inset="0,0,0,0">
            <w:txbxContent>
              <w:p w14:paraId="59827C14" w14:textId="77777777" w:rsidR="00F8024E" w:rsidRDefault="005D00CC">
                <w:pPr>
                  <w:spacing w:line="387" w:lineRule="exact"/>
                  <w:ind w:left="20"/>
                  <w:rPr>
                    <w:rFonts w:ascii="Calibri Light"/>
                    <w:sz w:val="36"/>
                  </w:rPr>
                </w:pPr>
                <w:r>
                  <w:rPr>
                    <w:rFonts w:ascii="Calibri Light"/>
                    <w:color w:val="9CC2E4"/>
                    <w:sz w:val="36"/>
                  </w:rPr>
                  <w:t>CITY</w:t>
                </w:r>
                <w:r>
                  <w:rPr>
                    <w:rFonts w:ascii="Calibri Light"/>
                    <w:color w:val="9CC2E4"/>
                    <w:spacing w:val="-5"/>
                    <w:sz w:val="36"/>
                  </w:rPr>
                  <w:t xml:space="preserve"> </w:t>
                </w:r>
                <w:r>
                  <w:rPr>
                    <w:rFonts w:ascii="Calibri Light"/>
                    <w:color w:val="9CC2E4"/>
                    <w:sz w:val="36"/>
                  </w:rPr>
                  <w:t>OF</w:t>
                </w:r>
                <w:r>
                  <w:rPr>
                    <w:rFonts w:ascii="Calibri Light"/>
                    <w:color w:val="9CC2E4"/>
                    <w:spacing w:val="-9"/>
                    <w:sz w:val="36"/>
                  </w:rPr>
                  <w:t xml:space="preserve"> </w:t>
                </w:r>
                <w:r>
                  <w:rPr>
                    <w:rFonts w:ascii="Calibri Light"/>
                    <w:color w:val="9CC2E4"/>
                    <w:spacing w:val="-4"/>
                    <w:sz w:val="36"/>
                  </w:rPr>
                  <w:t>FRANKLIN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061E"/>
    <w:multiLevelType w:val="hybridMultilevel"/>
    <w:tmpl w:val="DE4CBBF6"/>
    <w:lvl w:ilvl="0" w:tplc="554CDC28">
      <w:start w:val="3"/>
      <w:numFmt w:val="decimal"/>
      <w:lvlText w:val="%1."/>
      <w:lvlJc w:val="left"/>
      <w:pPr>
        <w:ind w:left="2190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9E64DC">
      <w:numFmt w:val="bullet"/>
      <w:lvlText w:val="•"/>
      <w:lvlJc w:val="left"/>
      <w:pPr>
        <w:ind w:left="2940" w:hanging="631"/>
      </w:pPr>
      <w:rPr>
        <w:rFonts w:hint="default"/>
        <w:lang w:val="en-US" w:eastAsia="en-US" w:bidi="ar-SA"/>
      </w:rPr>
    </w:lvl>
    <w:lvl w:ilvl="2" w:tplc="DB981222">
      <w:numFmt w:val="bullet"/>
      <w:lvlText w:val="•"/>
      <w:lvlJc w:val="left"/>
      <w:pPr>
        <w:ind w:left="3680" w:hanging="631"/>
      </w:pPr>
      <w:rPr>
        <w:rFonts w:hint="default"/>
        <w:lang w:val="en-US" w:eastAsia="en-US" w:bidi="ar-SA"/>
      </w:rPr>
    </w:lvl>
    <w:lvl w:ilvl="3" w:tplc="E7206E02">
      <w:numFmt w:val="bullet"/>
      <w:lvlText w:val="•"/>
      <w:lvlJc w:val="left"/>
      <w:pPr>
        <w:ind w:left="4420" w:hanging="631"/>
      </w:pPr>
      <w:rPr>
        <w:rFonts w:hint="default"/>
        <w:lang w:val="en-US" w:eastAsia="en-US" w:bidi="ar-SA"/>
      </w:rPr>
    </w:lvl>
    <w:lvl w:ilvl="4" w:tplc="C840E31A">
      <w:numFmt w:val="bullet"/>
      <w:lvlText w:val="•"/>
      <w:lvlJc w:val="left"/>
      <w:pPr>
        <w:ind w:left="5160" w:hanging="631"/>
      </w:pPr>
      <w:rPr>
        <w:rFonts w:hint="default"/>
        <w:lang w:val="en-US" w:eastAsia="en-US" w:bidi="ar-SA"/>
      </w:rPr>
    </w:lvl>
    <w:lvl w:ilvl="5" w:tplc="ECBA18CA">
      <w:numFmt w:val="bullet"/>
      <w:lvlText w:val="•"/>
      <w:lvlJc w:val="left"/>
      <w:pPr>
        <w:ind w:left="5900" w:hanging="631"/>
      </w:pPr>
      <w:rPr>
        <w:rFonts w:hint="default"/>
        <w:lang w:val="en-US" w:eastAsia="en-US" w:bidi="ar-SA"/>
      </w:rPr>
    </w:lvl>
    <w:lvl w:ilvl="6" w:tplc="3B1CFA44">
      <w:numFmt w:val="bullet"/>
      <w:lvlText w:val="•"/>
      <w:lvlJc w:val="left"/>
      <w:pPr>
        <w:ind w:left="6640" w:hanging="631"/>
      </w:pPr>
      <w:rPr>
        <w:rFonts w:hint="default"/>
        <w:lang w:val="en-US" w:eastAsia="en-US" w:bidi="ar-SA"/>
      </w:rPr>
    </w:lvl>
    <w:lvl w:ilvl="7" w:tplc="AC32892E">
      <w:numFmt w:val="bullet"/>
      <w:lvlText w:val="•"/>
      <w:lvlJc w:val="left"/>
      <w:pPr>
        <w:ind w:left="7380" w:hanging="631"/>
      </w:pPr>
      <w:rPr>
        <w:rFonts w:hint="default"/>
        <w:lang w:val="en-US" w:eastAsia="en-US" w:bidi="ar-SA"/>
      </w:rPr>
    </w:lvl>
    <w:lvl w:ilvl="8" w:tplc="129C40CC">
      <w:numFmt w:val="bullet"/>
      <w:lvlText w:val="•"/>
      <w:lvlJc w:val="left"/>
      <w:pPr>
        <w:ind w:left="8120" w:hanging="631"/>
      </w:pPr>
      <w:rPr>
        <w:rFonts w:hint="default"/>
        <w:lang w:val="en-US" w:eastAsia="en-US" w:bidi="ar-SA"/>
      </w:rPr>
    </w:lvl>
  </w:abstractNum>
  <w:abstractNum w:abstractNumId="1" w15:restartNumberingAfterBreak="0">
    <w:nsid w:val="1AF60FFF"/>
    <w:multiLevelType w:val="hybridMultilevel"/>
    <w:tmpl w:val="D5F84C6C"/>
    <w:lvl w:ilvl="0" w:tplc="23B07D34">
      <w:start w:val="1"/>
      <w:numFmt w:val="decimal"/>
      <w:lvlText w:val="%1."/>
      <w:lvlJc w:val="left"/>
      <w:pPr>
        <w:ind w:left="840" w:hanging="720"/>
        <w:jc w:val="left"/>
      </w:pPr>
      <w:rPr>
        <w:rFonts w:hint="default"/>
        <w:w w:val="100"/>
        <w:lang w:val="en-US" w:eastAsia="en-US" w:bidi="ar-SA"/>
      </w:rPr>
    </w:lvl>
    <w:lvl w:ilvl="1" w:tplc="96548290">
      <w:start w:val="1"/>
      <w:numFmt w:val="decimal"/>
      <w:lvlText w:val="%2."/>
      <w:lvlJc w:val="left"/>
      <w:pPr>
        <w:ind w:left="2190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A8286D8">
      <w:numFmt w:val="bullet"/>
      <w:lvlText w:val="•"/>
      <w:lvlJc w:val="left"/>
      <w:pPr>
        <w:ind w:left="3022" w:hanging="631"/>
      </w:pPr>
      <w:rPr>
        <w:rFonts w:hint="default"/>
        <w:lang w:val="en-US" w:eastAsia="en-US" w:bidi="ar-SA"/>
      </w:rPr>
    </w:lvl>
    <w:lvl w:ilvl="3" w:tplc="9CE21200">
      <w:numFmt w:val="bullet"/>
      <w:lvlText w:val="•"/>
      <w:lvlJc w:val="left"/>
      <w:pPr>
        <w:ind w:left="3844" w:hanging="631"/>
      </w:pPr>
      <w:rPr>
        <w:rFonts w:hint="default"/>
        <w:lang w:val="en-US" w:eastAsia="en-US" w:bidi="ar-SA"/>
      </w:rPr>
    </w:lvl>
    <w:lvl w:ilvl="4" w:tplc="FAEE11F4">
      <w:numFmt w:val="bullet"/>
      <w:lvlText w:val="•"/>
      <w:lvlJc w:val="left"/>
      <w:pPr>
        <w:ind w:left="4666" w:hanging="631"/>
      </w:pPr>
      <w:rPr>
        <w:rFonts w:hint="default"/>
        <w:lang w:val="en-US" w:eastAsia="en-US" w:bidi="ar-SA"/>
      </w:rPr>
    </w:lvl>
    <w:lvl w:ilvl="5" w:tplc="3E5471DA">
      <w:numFmt w:val="bullet"/>
      <w:lvlText w:val="•"/>
      <w:lvlJc w:val="left"/>
      <w:pPr>
        <w:ind w:left="5488" w:hanging="631"/>
      </w:pPr>
      <w:rPr>
        <w:rFonts w:hint="default"/>
        <w:lang w:val="en-US" w:eastAsia="en-US" w:bidi="ar-SA"/>
      </w:rPr>
    </w:lvl>
    <w:lvl w:ilvl="6" w:tplc="2E327F10">
      <w:numFmt w:val="bullet"/>
      <w:lvlText w:val="•"/>
      <w:lvlJc w:val="left"/>
      <w:pPr>
        <w:ind w:left="6311" w:hanging="631"/>
      </w:pPr>
      <w:rPr>
        <w:rFonts w:hint="default"/>
        <w:lang w:val="en-US" w:eastAsia="en-US" w:bidi="ar-SA"/>
      </w:rPr>
    </w:lvl>
    <w:lvl w:ilvl="7" w:tplc="0A0A8D4E">
      <w:numFmt w:val="bullet"/>
      <w:lvlText w:val="•"/>
      <w:lvlJc w:val="left"/>
      <w:pPr>
        <w:ind w:left="7133" w:hanging="631"/>
      </w:pPr>
      <w:rPr>
        <w:rFonts w:hint="default"/>
        <w:lang w:val="en-US" w:eastAsia="en-US" w:bidi="ar-SA"/>
      </w:rPr>
    </w:lvl>
    <w:lvl w:ilvl="8" w:tplc="57F4C6BC">
      <w:numFmt w:val="bullet"/>
      <w:lvlText w:val="•"/>
      <w:lvlJc w:val="left"/>
      <w:pPr>
        <w:ind w:left="7955" w:hanging="63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24E"/>
    <w:rsid w:val="005D00CC"/>
    <w:rsid w:val="00F8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D3660"/>
  <w15:docId w15:val="{F20C2C60-FBB1-4DF0-80D5-532ABA0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6"/>
      <w:ind w:left="3808" w:right="3809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929" w:hanging="8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87" w:lineRule="exact"/>
      <w:ind w:left="20"/>
    </w:pPr>
    <w:rPr>
      <w:rFonts w:ascii="Calibri Light" w:eastAsia="Calibri Light" w:hAnsi="Calibri Light" w:cs="Calibri Light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29" w:hanging="8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Lowe</cp:lastModifiedBy>
  <cp:revision>2</cp:revision>
  <dcterms:created xsi:type="dcterms:W3CDTF">2022-09-02T18:10:00Z</dcterms:created>
  <dcterms:modified xsi:type="dcterms:W3CDTF">2022-09-02T18:10:00Z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2022-09-02T00:00:00Z</vt:filetime>
  </property>
</Properties>
</file>